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0F3F01" w:rsidRDefault="000F3F01" w:rsidP="008E7C25">
      <w:pPr>
        <w:pBdr>
          <w:top w:val="nil"/>
          <w:left w:val="nil"/>
          <w:bottom w:val="nil"/>
          <w:right w:val="nil"/>
          <w:between w:val="nil"/>
        </w:pBdr>
        <w:shd w:val="clear" w:color="auto" w:fill="FFFFFF"/>
        <w:spacing w:after="150"/>
        <w:jc w:val="both"/>
        <w:rPr>
          <w:color w:val="333333"/>
          <w:sz w:val="24"/>
          <w:szCs w:val="24"/>
        </w:rPr>
      </w:pPr>
    </w:p>
    <w:p w14:paraId="00000003" w14:textId="77777777" w:rsidR="000F3F01" w:rsidRPr="008E7C25" w:rsidRDefault="003F3E03">
      <w:pPr>
        <w:pBdr>
          <w:top w:val="nil"/>
          <w:left w:val="nil"/>
          <w:bottom w:val="nil"/>
          <w:right w:val="nil"/>
          <w:between w:val="nil"/>
        </w:pBdr>
        <w:shd w:val="clear" w:color="auto" w:fill="FFFFFF"/>
        <w:spacing w:after="150"/>
        <w:ind w:firstLine="450"/>
        <w:jc w:val="center"/>
        <w:rPr>
          <w:b/>
          <w:i/>
          <w:color w:val="79421D"/>
          <w:sz w:val="36"/>
          <w:szCs w:val="36"/>
        </w:rPr>
      </w:pPr>
      <w:r w:rsidRPr="008E7C25">
        <w:rPr>
          <w:b/>
          <w:i/>
          <w:color w:val="79421D"/>
          <w:sz w:val="36"/>
          <w:szCs w:val="36"/>
        </w:rPr>
        <w:t>Грант на переробне підприємство</w:t>
      </w:r>
    </w:p>
    <w:p w14:paraId="75226281" w14:textId="2A93C4FA" w:rsidR="00F64D37" w:rsidRDefault="00F64D37" w:rsidP="00F64D37">
      <w:pPr>
        <w:pStyle w:val="rvps2"/>
        <w:numPr>
          <w:ilvl w:val="0"/>
          <w:numId w:val="4"/>
        </w:numPr>
        <w:shd w:val="clear" w:color="auto" w:fill="FFFFFF"/>
        <w:spacing w:before="0" w:beforeAutospacing="0" w:after="150" w:afterAutospacing="0"/>
        <w:jc w:val="both"/>
        <w:rPr>
          <w:color w:val="333333"/>
        </w:rPr>
      </w:pPr>
      <w:r>
        <w:rPr>
          <w:color w:val="333333"/>
          <w:lang w:val="uk-UA"/>
        </w:rPr>
        <w:t>Р</w:t>
      </w:r>
      <w:r>
        <w:rPr>
          <w:color w:val="333333"/>
        </w:rPr>
        <w:t>озмір гранту, який надається одному отримувачу, не перевищує 8 млн. гривень, а для суб’єктів господарювання, які оновлюють основні засоби виробництва, знищені чи пошкоджені внаслідок збройної агресії Російської Федерації, не перевищує 16 млн. гривень, при цьому не може бути більшим за розмір нанесеного збитку.</w:t>
      </w:r>
    </w:p>
    <w:p w14:paraId="4329DD15" w14:textId="77777777" w:rsidR="00F64D37" w:rsidRDefault="00F64D37" w:rsidP="00F64D37">
      <w:pPr>
        <w:pStyle w:val="rvps2"/>
        <w:numPr>
          <w:ilvl w:val="0"/>
          <w:numId w:val="4"/>
        </w:numPr>
        <w:shd w:val="clear" w:color="auto" w:fill="FFFFFF"/>
        <w:spacing w:before="0" w:beforeAutospacing="0" w:after="150" w:afterAutospacing="0"/>
        <w:jc w:val="both"/>
        <w:rPr>
          <w:color w:val="333333"/>
        </w:rPr>
      </w:pPr>
      <w:bookmarkStart w:id="0" w:name="n631"/>
      <w:bookmarkEnd w:id="0"/>
      <w:r>
        <w:rPr>
          <w:color w:val="333333"/>
        </w:rPr>
        <w:t>Гранти надаються за умови співфінансування з отримувачем у співвідношенні:</w:t>
      </w:r>
    </w:p>
    <w:p w14:paraId="38134FF6" w14:textId="7CFCE346" w:rsidR="00F64D37" w:rsidRDefault="00F94AA3" w:rsidP="00F94AA3">
      <w:pPr>
        <w:pStyle w:val="rvps2"/>
        <w:shd w:val="clear" w:color="auto" w:fill="FFFFFF"/>
        <w:spacing w:before="0" w:beforeAutospacing="0" w:after="150" w:afterAutospacing="0"/>
        <w:jc w:val="both"/>
        <w:rPr>
          <w:color w:val="333333"/>
        </w:rPr>
      </w:pPr>
      <w:bookmarkStart w:id="1" w:name="n632"/>
      <w:bookmarkEnd w:id="1"/>
      <w:r>
        <w:rPr>
          <w:color w:val="333333"/>
          <w:lang w:val="uk-UA"/>
        </w:rPr>
        <w:t xml:space="preserve">    1)  </w:t>
      </w:r>
      <w:r w:rsidR="00F64D37">
        <w:rPr>
          <w:color w:val="333333"/>
        </w:rPr>
        <w:t xml:space="preserve">до 80 відсотків вартості проекту - за рахунок грантів, не менше 20 відсотків - за </w:t>
      </w:r>
      <w:r>
        <w:rPr>
          <w:color w:val="333333"/>
          <w:lang w:val="uk-UA"/>
        </w:rPr>
        <w:t xml:space="preserve">     </w:t>
      </w:r>
      <w:r w:rsidR="00F64D37">
        <w:rPr>
          <w:color w:val="333333"/>
        </w:rPr>
        <w:t>рахунок коштів отримувача (власних або кредитних) для грантів, отримувачами яких є суб’єкти господарювання:</w:t>
      </w:r>
    </w:p>
    <w:p w14:paraId="16826829" w14:textId="42D85331" w:rsidR="00F64D37" w:rsidRPr="00F94AA3" w:rsidRDefault="00F94AA3" w:rsidP="00F94AA3">
      <w:pPr>
        <w:pStyle w:val="rvps2"/>
        <w:shd w:val="clear" w:color="auto" w:fill="FFFFFF"/>
        <w:spacing w:before="0" w:beforeAutospacing="0" w:after="150" w:afterAutospacing="0"/>
        <w:ind w:left="1168"/>
        <w:jc w:val="both"/>
        <w:rPr>
          <w:color w:val="333333"/>
        </w:rPr>
      </w:pPr>
      <w:bookmarkStart w:id="2" w:name="n633"/>
      <w:bookmarkEnd w:id="2"/>
      <w:r>
        <w:rPr>
          <w:color w:val="333333"/>
          <w:lang w:val="uk-UA"/>
        </w:rPr>
        <w:t>-</w:t>
      </w:r>
      <w:r w:rsidR="00F64D37" w:rsidRPr="00F94AA3">
        <w:rPr>
          <w:color w:val="333333"/>
        </w:rPr>
        <w:t>які зареєстровані та провадять або планують провадити господарську діяльність на територіях можливих бойових дій або територіях активних бойових дій, на яких функціонують державні електронні інформаційні ресурси, для яких не визначена дата припинення можливості бойових дій або завершення бойових дій; які зареєстровані та провадять або планують провадити господарську діяльність на територіях активних бойових дій або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w:t>
      </w:r>
      <w:bookmarkStart w:id="3" w:name="n634"/>
      <w:bookmarkEnd w:id="3"/>
      <w:r w:rsidR="00F64D37" w:rsidRPr="00F94AA3">
        <w:rPr>
          <w:color w:val="333333"/>
        </w:rPr>
        <w:t>- які провадять господарську діяльність з виробництва повітряних і космічних літальних апаратів, супутнього устатковання та здійснюють виробництво безпілотних літальних апаратів або їх частин;</w:t>
      </w:r>
    </w:p>
    <w:p w14:paraId="23E2BA39" w14:textId="77777777" w:rsidR="00F64D37" w:rsidRDefault="00F64D37" w:rsidP="00F64D37">
      <w:pPr>
        <w:pStyle w:val="rvps2"/>
        <w:shd w:val="clear" w:color="auto" w:fill="FFFFFF"/>
        <w:spacing w:before="0" w:beforeAutospacing="0" w:after="150" w:afterAutospacing="0"/>
        <w:ind w:left="1168"/>
        <w:jc w:val="both"/>
        <w:rPr>
          <w:color w:val="333333"/>
        </w:rPr>
      </w:pPr>
      <w:bookmarkStart w:id="4" w:name="n635"/>
      <w:bookmarkEnd w:id="4"/>
      <w:r>
        <w:rPr>
          <w:color w:val="333333"/>
        </w:rPr>
        <w:t>- які провадять господарську діяльність з тиражування записаної інформації та поліграфічної діяльності;</w:t>
      </w:r>
    </w:p>
    <w:p w14:paraId="4C0EE191" w14:textId="7FFC50D8" w:rsidR="00F64D37" w:rsidRDefault="00F64D37" w:rsidP="00F64D37">
      <w:pPr>
        <w:pStyle w:val="rvps2"/>
        <w:shd w:val="clear" w:color="auto" w:fill="FFFFFF"/>
        <w:spacing w:before="0" w:beforeAutospacing="0" w:after="150" w:afterAutospacing="0"/>
        <w:ind w:left="1168"/>
        <w:jc w:val="both"/>
        <w:rPr>
          <w:color w:val="333333"/>
        </w:rPr>
      </w:pPr>
      <w:bookmarkStart w:id="5" w:name="n636"/>
      <w:bookmarkEnd w:id="5"/>
      <w:r>
        <w:rPr>
          <w:color w:val="333333"/>
        </w:rPr>
        <w:t>-які оновлюють основні засоби виробництва, знищені або пошкоджені внаслідок збройної агресії Російської Федерації;</w:t>
      </w:r>
    </w:p>
    <w:p w14:paraId="71F04EBD" w14:textId="4B64FC76" w:rsidR="00F64D37" w:rsidRDefault="00F64D37" w:rsidP="00F94AA3">
      <w:pPr>
        <w:pStyle w:val="rvps2"/>
        <w:numPr>
          <w:ilvl w:val="0"/>
          <w:numId w:val="10"/>
        </w:numPr>
        <w:shd w:val="clear" w:color="auto" w:fill="FFFFFF"/>
        <w:spacing w:before="0" w:beforeAutospacing="0" w:after="150" w:afterAutospacing="0"/>
        <w:jc w:val="both"/>
        <w:rPr>
          <w:color w:val="333333"/>
        </w:rPr>
      </w:pPr>
      <w:bookmarkStart w:id="6" w:name="n637"/>
      <w:bookmarkEnd w:id="6"/>
      <w:r>
        <w:rPr>
          <w:color w:val="333333"/>
        </w:rPr>
        <w:t>до 70 відсотків вартості проекту - за рахунок грантів, не менше 30 відсотків - за рахунок коштів отримувача (власних або кредитних) для грантів, отримувачами яких є суб’єкти господарювання, які планують створення нових або збільшення потужностей існуючих виробництв переробної промисловості шляхом придбання основних засобів виробництва, країною походження яких згідно із сертифікатом про походження товару є Україна;</w:t>
      </w:r>
    </w:p>
    <w:p w14:paraId="2B09AB69" w14:textId="41A21F1A" w:rsidR="00F64D37" w:rsidRDefault="00F64D37" w:rsidP="00F94AA3">
      <w:pPr>
        <w:pStyle w:val="rvps2"/>
        <w:numPr>
          <w:ilvl w:val="0"/>
          <w:numId w:val="10"/>
        </w:numPr>
        <w:shd w:val="clear" w:color="auto" w:fill="FFFFFF"/>
        <w:spacing w:before="0" w:beforeAutospacing="0" w:after="150" w:afterAutospacing="0"/>
        <w:jc w:val="both"/>
        <w:rPr>
          <w:color w:val="333333"/>
        </w:rPr>
      </w:pPr>
      <w:bookmarkStart w:id="7" w:name="n638"/>
      <w:bookmarkEnd w:id="7"/>
      <w:r>
        <w:rPr>
          <w:color w:val="333333"/>
        </w:rPr>
        <w:t>до 50 відсотків вартості проекту - за рахунок грантів, не менше 50 відсотків - за рахунок коштів отримувача (власних або кредитних) - для всіх інших грантів, рішення про надання яких прийнято.</w:t>
      </w:r>
    </w:p>
    <w:p w14:paraId="2D01B3A3" w14:textId="2146BCC1" w:rsidR="00F64D37" w:rsidRDefault="0021158C" w:rsidP="0021158C">
      <w:pPr>
        <w:pStyle w:val="rvps2"/>
        <w:shd w:val="clear" w:color="auto" w:fill="FFFFFF"/>
        <w:spacing w:before="0" w:beforeAutospacing="0" w:after="150" w:afterAutospacing="0"/>
        <w:ind w:left="1168"/>
        <w:jc w:val="both"/>
        <w:rPr>
          <w:color w:val="333333"/>
        </w:rPr>
      </w:pPr>
      <w:bookmarkStart w:id="8" w:name="n639"/>
      <w:bookmarkEnd w:id="8"/>
      <w:r>
        <w:rPr>
          <w:color w:val="333333"/>
          <w:lang w:val="uk-UA"/>
        </w:rPr>
        <w:t>Не застосовуються у</w:t>
      </w:r>
      <w:r w:rsidR="00F64D37">
        <w:rPr>
          <w:color w:val="333333"/>
        </w:rPr>
        <w:t>мови пункту</w:t>
      </w:r>
      <w:r w:rsidR="00F94AA3">
        <w:rPr>
          <w:color w:val="333333"/>
          <w:lang w:val="uk-UA"/>
        </w:rPr>
        <w:t xml:space="preserve"> про фінансування</w:t>
      </w:r>
      <w:r w:rsidR="00F64D37">
        <w:rPr>
          <w:color w:val="333333"/>
        </w:rPr>
        <w:t xml:space="preserve"> </w:t>
      </w:r>
      <w:r w:rsidR="00F94AA3">
        <w:rPr>
          <w:color w:val="333333"/>
        </w:rPr>
        <w:t xml:space="preserve">до 80 відсотків вартості проекту - за рахунок грантів, не менше 20 відсотків - за </w:t>
      </w:r>
      <w:r w:rsidR="00F94AA3">
        <w:rPr>
          <w:color w:val="333333"/>
          <w:lang w:val="uk-UA"/>
        </w:rPr>
        <w:t xml:space="preserve">     </w:t>
      </w:r>
      <w:r w:rsidR="00F94AA3">
        <w:rPr>
          <w:color w:val="333333"/>
        </w:rPr>
        <w:t>рахунок коштів отримувача (власних або кредитних) для грантів, отримувачами яких є суб’єкти господарювання</w:t>
      </w:r>
      <w:r>
        <w:rPr>
          <w:color w:val="333333"/>
          <w:lang w:val="uk-UA"/>
        </w:rPr>
        <w:t>,</w:t>
      </w:r>
      <w:r>
        <w:rPr>
          <w:color w:val="333333"/>
        </w:rPr>
        <w:t xml:space="preserve"> які провадять господарську діяльність з тиражування записаної інформації та поліграфічної діяльності;</w:t>
      </w:r>
      <w:r>
        <w:rPr>
          <w:color w:val="333333"/>
          <w:lang w:val="uk-UA"/>
        </w:rPr>
        <w:t xml:space="preserve"> та</w:t>
      </w:r>
      <w:r>
        <w:rPr>
          <w:color w:val="333333"/>
          <w:lang w:val="en-US"/>
        </w:rPr>
        <w:t>/</w:t>
      </w:r>
      <w:r>
        <w:rPr>
          <w:color w:val="333333"/>
          <w:lang w:val="uk-UA"/>
        </w:rPr>
        <w:t xml:space="preserve">або </w:t>
      </w:r>
      <w:r>
        <w:rPr>
          <w:color w:val="333333"/>
        </w:rPr>
        <w:t xml:space="preserve">які оновлюють основні засоби виробництва, знищені або пошкоджені внаслідок збройної агресії Російської Федерації </w:t>
      </w:r>
      <w:r>
        <w:rPr>
          <w:color w:val="333333"/>
          <w:lang w:val="uk-UA"/>
        </w:rPr>
        <w:t>та</w:t>
      </w:r>
      <w:r w:rsidR="00F64D37">
        <w:rPr>
          <w:color w:val="333333"/>
        </w:rPr>
        <w:t xml:space="preserve"> зареєстровані </w:t>
      </w:r>
      <w:r>
        <w:rPr>
          <w:color w:val="333333"/>
          <w:lang w:val="uk-UA"/>
        </w:rPr>
        <w:t>і</w:t>
      </w:r>
      <w:r w:rsidR="00F64D37">
        <w:rPr>
          <w:color w:val="333333"/>
        </w:rPr>
        <w:t xml:space="preserve"> провадять/планують провадити господарську діяльність на територіях:</w:t>
      </w:r>
    </w:p>
    <w:p w14:paraId="21DA40B4" w14:textId="540121FF" w:rsidR="00F64D37" w:rsidRDefault="00F64D37" w:rsidP="00F64D37">
      <w:pPr>
        <w:pStyle w:val="rvps2"/>
        <w:shd w:val="clear" w:color="auto" w:fill="FFFFFF"/>
        <w:spacing w:before="0" w:beforeAutospacing="0" w:after="150" w:afterAutospacing="0"/>
        <w:ind w:left="720"/>
        <w:jc w:val="both"/>
        <w:rPr>
          <w:color w:val="333333"/>
        </w:rPr>
      </w:pPr>
      <w:bookmarkStart w:id="9" w:name="n640"/>
      <w:bookmarkEnd w:id="9"/>
      <w:r>
        <w:rPr>
          <w:color w:val="333333"/>
        </w:rPr>
        <w:lastRenderedPageBreak/>
        <w:t>м. Києва;</w:t>
      </w:r>
      <w:bookmarkStart w:id="10" w:name="n641"/>
      <w:bookmarkEnd w:id="10"/>
      <w:r>
        <w:rPr>
          <w:color w:val="333333"/>
          <w:lang w:val="uk-UA"/>
        </w:rPr>
        <w:t xml:space="preserve"> </w:t>
      </w:r>
      <w:r>
        <w:rPr>
          <w:color w:val="333333"/>
        </w:rPr>
        <w:t>Київської області.</w:t>
      </w:r>
    </w:p>
    <w:p w14:paraId="00000006" w14:textId="37492AA2" w:rsidR="000F3F01" w:rsidRPr="005E04B1" w:rsidRDefault="00F64D37" w:rsidP="005E04B1">
      <w:pPr>
        <w:pStyle w:val="rvps2"/>
        <w:numPr>
          <w:ilvl w:val="0"/>
          <w:numId w:val="10"/>
        </w:numPr>
        <w:shd w:val="clear" w:color="auto" w:fill="FFFFFF"/>
        <w:spacing w:before="0" w:beforeAutospacing="0" w:after="150" w:afterAutospacing="0"/>
        <w:jc w:val="both"/>
        <w:rPr>
          <w:color w:val="333333"/>
        </w:rPr>
      </w:pPr>
      <w:bookmarkStart w:id="11" w:name="n642"/>
      <w:bookmarkEnd w:id="11"/>
      <w:r>
        <w:rPr>
          <w:color w:val="333333"/>
        </w:rPr>
        <w:t>Внесок за рахунок власних коштів отримувача (не кредитних) повинен становити не менше 20 відсотків вартості проекту.</w:t>
      </w:r>
    </w:p>
    <w:p w14:paraId="44F19198" w14:textId="77777777" w:rsidR="00F64D37" w:rsidRDefault="00F64D37" w:rsidP="00F64D37">
      <w:pPr>
        <w:pStyle w:val="rvps2"/>
        <w:shd w:val="clear" w:color="auto" w:fill="FFFFFF"/>
        <w:spacing w:before="0" w:beforeAutospacing="0" w:after="150" w:afterAutospacing="0"/>
        <w:ind w:firstLine="450"/>
        <w:jc w:val="both"/>
        <w:rPr>
          <w:color w:val="333333"/>
        </w:rPr>
      </w:pPr>
      <w:bookmarkStart w:id="12" w:name="bookmark=id.3znysh7" w:colFirst="0" w:colLast="0"/>
      <w:bookmarkStart w:id="13" w:name="bookmark=id.2et92p0" w:colFirst="0" w:colLast="0"/>
      <w:bookmarkStart w:id="14" w:name="bookmark=id.tyjcwt" w:colFirst="0" w:colLast="0"/>
      <w:bookmarkEnd w:id="12"/>
      <w:bookmarkEnd w:id="13"/>
      <w:bookmarkEnd w:id="14"/>
      <w:r>
        <w:rPr>
          <w:color w:val="333333"/>
        </w:rPr>
        <w:t>Грант надається лише одному отримувачу з урахуванням пов’язаних із ним осіб, крім випадків оновлення основних засобів виробництва, знищених або пошкоджених внаслідок збройної агресії Російської Федерації.</w:t>
      </w:r>
    </w:p>
    <w:p w14:paraId="026B5C60" w14:textId="62301001" w:rsidR="00F64D37" w:rsidRDefault="00F64D37" w:rsidP="00F64D37">
      <w:pPr>
        <w:pStyle w:val="rvps2"/>
        <w:shd w:val="clear" w:color="auto" w:fill="FFFFFF"/>
        <w:spacing w:before="0" w:beforeAutospacing="0" w:after="150" w:afterAutospacing="0"/>
        <w:ind w:firstLine="450"/>
        <w:jc w:val="both"/>
        <w:rPr>
          <w:color w:val="333333"/>
        </w:rPr>
      </w:pPr>
      <w:bookmarkStart w:id="15" w:name="n646"/>
      <w:bookmarkEnd w:id="15"/>
      <w:r>
        <w:rPr>
          <w:color w:val="333333"/>
        </w:rPr>
        <w:t xml:space="preserve">Повторне отримання гранту можливе після отримання отримувачем підписаного акта про остаточне виконання умов договору гранту (далі - акт про виконання гранту) </w:t>
      </w:r>
    </w:p>
    <w:p w14:paraId="6BC36E6B" w14:textId="1C008571" w:rsidR="00F64D37" w:rsidRPr="00F64D37" w:rsidRDefault="00F64D37" w:rsidP="00F64D37">
      <w:pPr>
        <w:pStyle w:val="rvps2"/>
        <w:shd w:val="clear" w:color="auto" w:fill="FFFFFF"/>
        <w:spacing w:before="0" w:beforeAutospacing="0" w:after="150" w:afterAutospacing="0"/>
        <w:ind w:firstLine="450"/>
        <w:jc w:val="both"/>
        <w:rPr>
          <w:color w:val="333333"/>
          <w:lang w:val="uk-UA"/>
        </w:rPr>
      </w:pPr>
      <w:bookmarkStart w:id="16" w:name="n647"/>
      <w:bookmarkEnd w:id="16"/>
      <w:r>
        <w:rPr>
          <w:color w:val="333333"/>
        </w:rPr>
        <w:t>У разі знищення або пошкодження внаслідок збройної агресії Російської Федерації виробництва переробної промисловості, створеного в результаті реалізації проекту за рахунок отриманого гранту, держава компенсує отримувачу його власний внесок у розмірі, що відповідає встановленому розміру нанесеного збитку</w:t>
      </w:r>
      <w:r>
        <w:rPr>
          <w:color w:val="333333"/>
          <w:lang w:val="uk-UA"/>
        </w:rPr>
        <w:t>.</w:t>
      </w:r>
    </w:p>
    <w:p w14:paraId="31A478DC" w14:textId="02CACB6C" w:rsidR="00F64D37" w:rsidRDefault="00F64D37" w:rsidP="00F64D37">
      <w:pPr>
        <w:pStyle w:val="rvps2"/>
        <w:shd w:val="clear" w:color="auto" w:fill="FFFFFF"/>
        <w:spacing w:before="0" w:beforeAutospacing="0" w:after="150" w:afterAutospacing="0"/>
        <w:ind w:firstLine="450"/>
        <w:jc w:val="both"/>
        <w:rPr>
          <w:color w:val="333333"/>
        </w:rPr>
      </w:pPr>
      <w:bookmarkStart w:id="17" w:name="n648"/>
      <w:bookmarkEnd w:id="17"/>
      <w:r>
        <w:rPr>
          <w:color w:val="333333"/>
        </w:rPr>
        <w:t>У разі віднесення території, де фактично розташовані виробничі потужності отримувача, після отримання гранту до територій активних бойових дій або тимчасово окупованих Російською Федерацією територій, включених до </w:t>
      </w:r>
      <w:hyperlink r:id="rId8" w:anchor="n16" w:tgtFrame="_blank" w:history="1">
        <w:r>
          <w:rPr>
            <w:rStyle w:val="a4"/>
            <w:color w:val="000099"/>
          </w:rPr>
          <w:t>переліку територій, на яких ведуться (велися) бойові дії або тимчасово окупованих Російською Федерацією</w:t>
        </w:r>
      </w:hyperlink>
      <w:r>
        <w:rPr>
          <w:color w:val="333333"/>
        </w:rPr>
        <w:t>, для яких не визначена дата завершення бойових дій або тимчасової окупації, виробничі потужності отримувача можуть бути переміщені на інші території без зміни умов надання гранту.</w:t>
      </w:r>
    </w:p>
    <w:p w14:paraId="2BA3FD98" w14:textId="77777777" w:rsidR="00F64D37" w:rsidRPr="00F64D37" w:rsidRDefault="00F64D37" w:rsidP="00F64D37">
      <w:pPr>
        <w:pStyle w:val="rvps2"/>
        <w:shd w:val="clear" w:color="auto" w:fill="FFFFFF"/>
        <w:spacing w:before="0" w:beforeAutospacing="0" w:after="150" w:afterAutospacing="0"/>
        <w:ind w:firstLine="450"/>
        <w:jc w:val="both"/>
        <w:rPr>
          <w:b/>
          <w:bCs/>
          <w:color w:val="333333"/>
          <w:sz w:val="28"/>
          <w:szCs w:val="28"/>
        </w:rPr>
      </w:pPr>
      <w:r w:rsidRPr="0021158C">
        <w:rPr>
          <w:b/>
          <w:bCs/>
          <w:color w:val="333333"/>
          <w:sz w:val="20"/>
          <w:szCs w:val="20"/>
        </w:rPr>
        <w:t>Гранти надаються для створення нових виробництв переробної промисловості, збільшення потужностей наявних виробництв переробної промисловості або оновлення основних засобів виробництва, знищених чи пошкоджених внаслідок збройної агресії Російської Федерації, для покриття таких напрямів витрат, як</w:t>
      </w:r>
      <w:r w:rsidRPr="0021158C">
        <w:rPr>
          <w:b/>
          <w:bCs/>
          <w:color w:val="333333"/>
          <w:sz w:val="28"/>
          <w:szCs w:val="28"/>
        </w:rPr>
        <w:t>:</w:t>
      </w:r>
    </w:p>
    <w:p w14:paraId="4D446FD5" w14:textId="00CE4035" w:rsidR="00F64D37" w:rsidRDefault="00F64D37" w:rsidP="00F64D37">
      <w:pPr>
        <w:pStyle w:val="rvps2"/>
        <w:numPr>
          <w:ilvl w:val="0"/>
          <w:numId w:val="9"/>
        </w:numPr>
        <w:shd w:val="clear" w:color="auto" w:fill="FFFFFF"/>
        <w:spacing w:before="0" w:beforeAutospacing="0" w:after="150" w:afterAutospacing="0"/>
        <w:jc w:val="both"/>
        <w:rPr>
          <w:color w:val="333333"/>
        </w:rPr>
      </w:pPr>
      <w:bookmarkStart w:id="18" w:name="n651"/>
      <w:bookmarkEnd w:id="18"/>
      <w:r>
        <w:rPr>
          <w:color w:val="333333"/>
        </w:rPr>
        <w:t>придбання основних засобів виробництва (машини та обладнання, ручні механічні знаряддя, що працюють на електричній енергії), які не підлягають відчуженню до виконання умов договору гранту (крім випадків відчуження внаслідок звернення стягнення на них уповноваженим банком відповідно до договору застави);</w:t>
      </w:r>
    </w:p>
    <w:p w14:paraId="55832062" w14:textId="512998ED" w:rsidR="00F64D37" w:rsidRDefault="00F64D37" w:rsidP="00F64D37">
      <w:pPr>
        <w:pStyle w:val="rvps2"/>
        <w:numPr>
          <w:ilvl w:val="0"/>
          <w:numId w:val="9"/>
        </w:numPr>
        <w:shd w:val="clear" w:color="auto" w:fill="FFFFFF"/>
        <w:spacing w:before="0" w:beforeAutospacing="0" w:after="150" w:afterAutospacing="0"/>
        <w:jc w:val="both"/>
        <w:rPr>
          <w:color w:val="333333"/>
        </w:rPr>
      </w:pPr>
      <w:bookmarkStart w:id="19" w:name="n652"/>
      <w:bookmarkEnd w:id="19"/>
      <w:r>
        <w:rPr>
          <w:color w:val="333333"/>
        </w:rPr>
        <w:t>доставка та введення в експлуатацію основних засобів виробництва (верстатів, технологічного обладнання), включаючи програмне забезпечення;</w:t>
      </w:r>
    </w:p>
    <w:p w14:paraId="227E3FEC" w14:textId="1437CFDE" w:rsidR="00F64D37" w:rsidRDefault="00F64D37" w:rsidP="00F64D37">
      <w:pPr>
        <w:pStyle w:val="rvps2"/>
        <w:numPr>
          <w:ilvl w:val="0"/>
          <w:numId w:val="9"/>
        </w:numPr>
        <w:shd w:val="clear" w:color="auto" w:fill="FFFFFF"/>
        <w:spacing w:before="0" w:beforeAutospacing="0" w:after="150" w:afterAutospacing="0"/>
        <w:jc w:val="both"/>
        <w:rPr>
          <w:color w:val="333333"/>
        </w:rPr>
      </w:pPr>
      <w:bookmarkStart w:id="20" w:name="n653"/>
      <w:bookmarkEnd w:id="20"/>
      <w:r>
        <w:rPr>
          <w:color w:val="333333"/>
        </w:rPr>
        <w:t>придбання нематеріальних активів та проведення прикладних наукових досліджень і здійснення науково-технічних (експериментальних) розробок для запуску інноваційної продукції у серійне виробництво;</w:t>
      </w:r>
    </w:p>
    <w:p w14:paraId="0E9F7768" w14:textId="77777777" w:rsidR="00F64D37" w:rsidRDefault="00F64D37" w:rsidP="00F64D37">
      <w:pPr>
        <w:pStyle w:val="rvps2"/>
        <w:numPr>
          <w:ilvl w:val="0"/>
          <w:numId w:val="9"/>
        </w:numPr>
        <w:shd w:val="clear" w:color="auto" w:fill="FFFFFF"/>
        <w:spacing w:before="0" w:beforeAutospacing="0" w:after="150" w:afterAutospacing="0"/>
        <w:jc w:val="both"/>
        <w:rPr>
          <w:color w:val="333333"/>
        </w:rPr>
      </w:pPr>
      <w:bookmarkStart w:id="21" w:name="n654"/>
      <w:bookmarkEnd w:id="21"/>
      <w:r>
        <w:rPr>
          <w:color w:val="333333"/>
        </w:rPr>
        <w:t>придбання обладнання для післяурожайної обробки, для отримувачів, які відповідно до вимог </w:t>
      </w:r>
      <w:hyperlink r:id="rId9" w:tgtFrame="_blank" w:history="1">
        <w:r>
          <w:rPr>
            <w:rStyle w:val="a4"/>
            <w:color w:val="000099"/>
          </w:rPr>
          <w:t>Закону України</w:t>
        </w:r>
      </w:hyperlink>
      <w:r>
        <w:rPr>
          <w:color w:val="333333"/>
        </w:rPr>
        <w:t> “Про інформаційно-комунікаційну систему “Державний аграрний реєстр” зареєстровані в Державному аграрному реєстрі та провадять або планують провадити господарську діяльність з вирощування багаторічних культур (КВЕД 01.2).</w:t>
      </w:r>
      <w:bookmarkStart w:id="22" w:name="n655"/>
      <w:bookmarkEnd w:id="22"/>
    </w:p>
    <w:p w14:paraId="6A4E9ACB" w14:textId="7E7FF9CF" w:rsidR="00F64D37" w:rsidRPr="00F64D37" w:rsidRDefault="00F64D37" w:rsidP="00F64D37">
      <w:pPr>
        <w:pStyle w:val="rvps2"/>
        <w:numPr>
          <w:ilvl w:val="0"/>
          <w:numId w:val="9"/>
        </w:numPr>
        <w:shd w:val="clear" w:color="auto" w:fill="FFFFFF"/>
        <w:spacing w:before="0" w:beforeAutospacing="0" w:after="150" w:afterAutospacing="0"/>
        <w:jc w:val="both"/>
        <w:rPr>
          <w:color w:val="333333"/>
        </w:rPr>
      </w:pPr>
      <w:r w:rsidRPr="00F64D37">
        <w:rPr>
          <w:color w:val="333333"/>
        </w:rPr>
        <w:t>У разі придбання обладнання, що було у використанні, проведення його оцінки суб’єктом оціночної діяльності є обов’язковим.</w:t>
      </w:r>
    </w:p>
    <w:p w14:paraId="64954FA3" w14:textId="16B49857" w:rsidR="00F64D37" w:rsidRDefault="00F64D37" w:rsidP="00F64D37">
      <w:pPr>
        <w:pStyle w:val="rvps2"/>
        <w:shd w:val="clear" w:color="auto" w:fill="FFFFFF"/>
        <w:spacing w:before="0" w:beforeAutospacing="0" w:after="150" w:afterAutospacing="0"/>
        <w:ind w:firstLine="450"/>
        <w:jc w:val="both"/>
        <w:rPr>
          <w:color w:val="333333"/>
        </w:rPr>
      </w:pPr>
      <w:bookmarkStart w:id="23" w:name="n656"/>
      <w:bookmarkEnd w:id="23"/>
      <w:r>
        <w:rPr>
          <w:color w:val="333333"/>
        </w:rPr>
        <w:t>Кошти отримувачів, які провадять господарську діяльність з виробництва повітряних і космічних літальних апаратів, супутнього устатковання та здійснюють виробництво безпілотних літальних апаратів або їх частин, а також з тиражування записаної інформації та поліграфічної діяльності, можуть використовуватися на поповнення оборотного капіталу.</w:t>
      </w:r>
    </w:p>
    <w:p w14:paraId="687586B6" w14:textId="77777777" w:rsidR="00F64D37" w:rsidRPr="00F64D37" w:rsidRDefault="00F64D37" w:rsidP="00F64D37">
      <w:pPr>
        <w:pStyle w:val="rvps2"/>
        <w:shd w:val="clear" w:color="auto" w:fill="FFFFFF"/>
        <w:spacing w:before="0" w:beforeAutospacing="0" w:after="150" w:afterAutospacing="0"/>
        <w:ind w:firstLine="450"/>
        <w:jc w:val="both"/>
        <w:rPr>
          <w:color w:val="333333"/>
        </w:rPr>
      </w:pPr>
    </w:p>
    <w:p w14:paraId="4183A0C4" w14:textId="77777777" w:rsidR="008E7C25" w:rsidRPr="00A4146A" w:rsidRDefault="008E7C25" w:rsidP="008E7C25">
      <w:pPr>
        <w:shd w:val="clear" w:color="auto" w:fill="FFFFFF"/>
        <w:spacing w:before="150" w:after="150"/>
        <w:jc w:val="center"/>
        <w:rPr>
          <w:b/>
          <w:i/>
          <w:color w:val="79421D"/>
          <w:sz w:val="24"/>
          <w:szCs w:val="24"/>
          <w:lang w:val="uk-UA"/>
        </w:rPr>
      </w:pPr>
      <w:bookmarkStart w:id="24" w:name="bookmark=id.qsh70q" w:colFirst="0" w:colLast="0"/>
      <w:bookmarkStart w:id="25" w:name="bookmark=id.2bn6wsx" w:colFirst="0" w:colLast="0"/>
      <w:bookmarkStart w:id="26" w:name="bookmark=id.3whwml4" w:colFirst="0" w:colLast="0"/>
      <w:bookmarkEnd w:id="24"/>
      <w:bookmarkEnd w:id="25"/>
      <w:bookmarkEnd w:id="26"/>
    </w:p>
    <w:p w14:paraId="00000016" w14:textId="745A267E" w:rsidR="000F3F01" w:rsidRPr="008E7C25" w:rsidRDefault="003F3E03" w:rsidP="008E7C25">
      <w:pPr>
        <w:shd w:val="clear" w:color="auto" w:fill="FFFFFF"/>
        <w:spacing w:before="150" w:after="150"/>
        <w:jc w:val="center"/>
        <w:rPr>
          <w:i/>
          <w:color w:val="79421D"/>
          <w:szCs w:val="24"/>
        </w:rPr>
      </w:pPr>
      <w:r w:rsidRPr="008E7C25">
        <w:rPr>
          <w:b/>
          <w:i/>
          <w:color w:val="79421D"/>
          <w:szCs w:val="24"/>
        </w:rPr>
        <w:t>К</w:t>
      </w:r>
      <w:r w:rsidR="008E7C25" w:rsidRPr="008E7C25">
        <w:rPr>
          <w:b/>
          <w:i/>
          <w:color w:val="79421D"/>
          <w:szCs w:val="24"/>
        </w:rPr>
        <w:t>ількість</w:t>
      </w:r>
      <w:r w:rsidRPr="008E7C25">
        <w:rPr>
          <w:i/>
          <w:color w:val="79421D"/>
          <w:szCs w:val="24"/>
        </w:rPr>
        <w:br/>
      </w:r>
      <w:r w:rsidRPr="008E7C25">
        <w:rPr>
          <w:b/>
          <w:i/>
          <w:color w:val="79421D"/>
          <w:szCs w:val="24"/>
        </w:rPr>
        <w:t>працевлаштованих залежно від розміру наданого гранту</w:t>
      </w:r>
      <w:bookmarkStart w:id="27" w:name="bookmark=id.3as4poj" w:colFirst="0" w:colLast="0"/>
      <w:bookmarkEnd w:id="27"/>
    </w:p>
    <w:p w14:paraId="00000017" w14:textId="77777777" w:rsidR="000F3F01" w:rsidRPr="008E7C25" w:rsidRDefault="003F3E03">
      <w:pPr>
        <w:spacing w:after="0"/>
        <w:ind w:firstLine="709"/>
        <w:jc w:val="both"/>
        <w:rPr>
          <w:color w:val="79421D"/>
          <w:sz w:val="24"/>
          <w:szCs w:val="24"/>
        </w:rPr>
      </w:pPr>
      <w:r w:rsidRPr="008E7C25">
        <w:rPr>
          <w:color w:val="79421D"/>
          <w:sz w:val="24"/>
          <w:szCs w:val="24"/>
        </w:rPr>
        <w:t xml:space="preserve">Від 5 працівників, при умові, що в сумі повернення гранту податками складає 20 % ЄСВ від фонду оплати праці новоприйнятих працівників. </w:t>
      </w:r>
    </w:p>
    <w:p w14:paraId="00000018" w14:textId="77777777" w:rsidR="000F3F01" w:rsidRPr="008E7C25" w:rsidRDefault="003F3E03">
      <w:pPr>
        <w:spacing w:after="0"/>
        <w:ind w:firstLine="709"/>
        <w:jc w:val="both"/>
        <w:rPr>
          <w:color w:val="79421D"/>
          <w:sz w:val="24"/>
          <w:szCs w:val="24"/>
        </w:rPr>
      </w:pPr>
      <w:r w:rsidRPr="008E7C25">
        <w:rPr>
          <w:color w:val="79421D"/>
          <w:sz w:val="24"/>
          <w:szCs w:val="24"/>
        </w:rPr>
        <w:t>При поданні заявки підприємством, яке зареєстроване чи здійснює діяльність на всій території України, фінансування проекту відбувається в співвідношенні 50/50.</w:t>
      </w:r>
    </w:p>
    <w:p w14:paraId="00000019" w14:textId="77777777" w:rsidR="000F3F01" w:rsidRPr="008E7C25" w:rsidRDefault="003F3E03">
      <w:pPr>
        <w:spacing w:after="0"/>
        <w:ind w:firstLine="709"/>
        <w:jc w:val="both"/>
        <w:rPr>
          <w:color w:val="79421D"/>
          <w:sz w:val="24"/>
          <w:szCs w:val="24"/>
        </w:rPr>
      </w:pPr>
      <w:r w:rsidRPr="008E7C25">
        <w:rPr>
          <w:color w:val="79421D"/>
          <w:sz w:val="24"/>
          <w:szCs w:val="24"/>
        </w:rPr>
        <w:t>При поданні заявки підприємством, яке зареєстроване чи здійснює діяльність на деокупованій території фінансування складає 80/20.</w:t>
      </w:r>
    </w:p>
    <w:p w14:paraId="0000001A" w14:textId="77777777" w:rsidR="000F3F01" w:rsidRPr="008E7C25" w:rsidRDefault="000F3F01">
      <w:pPr>
        <w:spacing w:after="0"/>
        <w:ind w:firstLine="709"/>
        <w:jc w:val="both"/>
      </w:pPr>
    </w:p>
    <w:p w14:paraId="0000002E" w14:textId="77777777" w:rsidR="000F3F01" w:rsidRPr="008E7C25" w:rsidRDefault="003F3E03">
      <w:pPr>
        <w:spacing w:after="216"/>
        <w:ind w:left="205"/>
        <w:rPr>
          <w:b/>
          <w:color w:val="FBE833"/>
        </w:rPr>
      </w:pPr>
      <w:r w:rsidRPr="008E7C25">
        <w:rPr>
          <w:b/>
          <w:color w:val="7B4B1B"/>
        </w:rPr>
        <w:t>Для перевірки Вашої ділової репутації, надайте будь ласка:</w:t>
      </w:r>
    </w:p>
    <w:p w14:paraId="0000002F" w14:textId="77777777" w:rsidR="000F3F01" w:rsidRPr="008E7C25" w:rsidRDefault="003F3E03">
      <w:pPr>
        <w:numPr>
          <w:ilvl w:val="0"/>
          <w:numId w:val="1"/>
        </w:numPr>
        <w:pBdr>
          <w:top w:val="nil"/>
          <w:left w:val="nil"/>
          <w:bottom w:val="nil"/>
          <w:right w:val="nil"/>
          <w:between w:val="nil"/>
        </w:pBdr>
        <w:spacing w:after="0" w:line="331" w:lineRule="auto"/>
        <w:rPr>
          <w:color w:val="79421D"/>
        </w:rPr>
      </w:pPr>
      <w:r w:rsidRPr="008E7C25">
        <w:rPr>
          <w:color w:val="79421D"/>
        </w:rPr>
        <w:t>ЄДРПОУ компанії або ІНН ФОПа</w:t>
      </w:r>
    </w:p>
    <w:p w14:paraId="00000030" w14:textId="77777777" w:rsidR="000F3F01" w:rsidRPr="008E7C25" w:rsidRDefault="003F3E03">
      <w:pPr>
        <w:numPr>
          <w:ilvl w:val="0"/>
          <w:numId w:val="1"/>
        </w:numPr>
        <w:pBdr>
          <w:top w:val="nil"/>
          <w:left w:val="nil"/>
          <w:bottom w:val="nil"/>
          <w:right w:val="nil"/>
          <w:between w:val="nil"/>
        </w:pBdr>
        <w:spacing w:after="0" w:line="331" w:lineRule="auto"/>
        <w:rPr>
          <w:color w:val="79421D"/>
        </w:rPr>
      </w:pPr>
      <w:r w:rsidRPr="008E7C25">
        <w:rPr>
          <w:color w:val="79421D"/>
        </w:rPr>
        <w:t>ІНН засновників та директора (якщо у Вас ТОВ)</w:t>
      </w:r>
    </w:p>
    <w:p w14:paraId="00000032" w14:textId="53466E6D" w:rsidR="000F3F01" w:rsidRPr="008E7C25" w:rsidRDefault="003F3E03" w:rsidP="00842ABE">
      <w:pPr>
        <w:numPr>
          <w:ilvl w:val="0"/>
          <w:numId w:val="1"/>
        </w:numPr>
        <w:pBdr>
          <w:top w:val="nil"/>
          <w:left w:val="nil"/>
          <w:bottom w:val="nil"/>
          <w:right w:val="nil"/>
          <w:between w:val="nil"/>
        </w:pBdr>
        <w:spacing w:after="0" w:line="331" w:lineRule="auto"/>
        <w:rPr>
          <w:color w:val="79421D"/>
        </w:rPr>
      </w:pPr>
      <w:r w:rsidRPr="008E7C25">
        <w:rPr>
          <w:color w:val="79421D"/>
        </w:rPr>
        <w:t xml:space="preserve">Кредитну історію з сайту </w:t>
      </w:r>
      <w:r w:rsidR="00842ABE" w:rsidRPr="008E7C25">
        <w:rPr>
          <w:color w:val="79421D"/>
        </w:rPr>
        <w:t xml:space="preserve">https://my.pvbki.com/Cabinet/Home/CreditHistory </w:t>
      </w:r>
      <w:r w:rsidRPr="008E7C25">
        <w:rPr>
          <w:color w:val="79421D"/>
        </w:rPr>
        <w:t>(сформований файл надіслати нам)</w:t>
      </w:r>
    </w:p>
    <w:p w14:paraId="00000033" w14:textId="77777777" w:rsidR="000F3F01" w:rsidRPr="008E7C25" w:rsidRDefault="003F3E03">
      <w:pPr>
        <w:numPr>
          <w:ilvl w:val="0"/>
          <w:numId w:val="1"/>
        </w:numPr>
        <w:pBdr>
          <w:top w:val="nil"/>
          <w:left w:val="nil"/>
          <w:bottom w:val="nil"/>
          <w:right w:val="nil"/>
          <w:between w:val="nil"/>
        </w:pBdr>
        <w:spacing w:after="0" w:line="331" w:lineRule="auto"/>
        <w:rPr>
          <w:color w:val="79421D"/>
        </w:rPr>
      </w:pPr>
      <w:r w:rsidRPr="008E7C25">
        <w:rPr>
          <w:color w:val="79421D"/>
        </w:rPr>
        <w:t xml:space="preserve">Електронну пошту </w:t>
      </w:r>
    </w:p>
    <w:p w14:paraId="00000034" w14:textId="77777777" w:rsidR="000F3F01" w:rsidRPr="008E7C25" w:rsidRDefault="003F3E03">
      <w:pPr>
        <w:numPr>
          <w:ilvl w:val="0"/>
          <w:numId w:val="1"/>
        </w:numPr>
        <w:pBdr>
          <w:top w:val="nil"/>
          <w:left w:val="nil"/>
          <w:bottom w:val="nil"/>
          <w:right w:val="nil"/>
          <w:between w:val="nil"/>
        </w:pBdr>
        <w:spacing w:after="0" w:line="331" w:lineRule="auto"/>
        <w:rPr>
          <w:color w:val="79421D"/>
        </w:rPr>
      </w:pPr>
      <w:r w:rsidRPr="008E7C25">
        <w:rPr>
          <w:color w:val="79421D"/>
        </w:rPr>
        <w:t>Адресу реєстрації</w:t>
      </w:r>
    </w:p>
    <w:p w14:paraId="7163AD80" w14:textId="3F4DCA2D" w:rsidR="008E7C25" w:rsidRPr="00F64D37" w:rsidRDefault="003F3E03" w:rsidP="00F64D37">
      <w:pPr>
        <w:numPr>
          <w:ilvl w:val="0"/>
          <w:numId w:val="1"/>
        </w:numPr>
        <w:pBdr>
          <w:top w:val="nil"/>
          <w:left w:val="nil"/>
          <w:bottom w:val="nil"/>
          <w:right w:val="nil"/>
          <w:between w:val="nil"/>
        </w:pBdr>
        <w:spacing w:after="216" w:line="331" w:lineRule="auto"/>
        <w:rPr>
          <w:color w:val="79421D"/>
        </w:rPr>
      </w:pPr>
      <w:r w:rsidRPr="008E7C25">
        <w:rPr>
          <w:color w:val="79421D"/>
        </w:rPr>
        <w:t>Номер телефону</w:t>
      </w:r>
    </w:p>
    <w:p w14:paraId="04068677" w14:textId="77777777" w:rsidR="008E7C25" w:rsidRPr="004735EE" w:rsidRDefault="008E7C25" w:rsidP="00F64D37">
      <w:pPr>
        <w:pBdr>
          <w:top w:val="nil"/>
          <w:left w:val="nil"/>
          <w:bottom w:val="nil"/>
          <w:right w:val="nil"/>
          <w:between w:val="nil"/>
        </w:pBdr>
        <w:spacing w:after="0"/>
        <w:rPr>
          <w:color w:val="FF0000"/>
          <w:sz w:val="24"/>
          <w:szCs w:val="24"/>
        </w:rPr>
      </w:pPr>
    </w:p>
    <w:p w14:paraId="0674C179" w14:textId="77777777" w:rsidR="004735EE" w:rsidRPr="004735EE" w:rsidRDefault="004735EE" w:rsidP="004735EE">
      <w:pPr>
        <w:pBdr>
          <w:top w:val="nil"/>
          <w:left w:val="nil"/>
          <w:bottom w:val="nil"/>
          <w:right w:val="nil"/>
          <w:between w:val="nil"/>
        </w:pBdr>
        <w:spacing w:after="0"/>
        <w:ind w:left="-15"/>
        <w:rPr>
          <w:color w:val="FF0000"/>
          <w:sz w:val="24"/>
          <w:szCs w:val="24"/>
        </w:rPr>
      </w:pPr>
    </w:p>
    <w:p w14:paraId="482EFE59" w14:textId="212BC5F9" w:rsidR="004735EE" w:rsidRPr="008E7C25" w:rsidRDefault="004735EE" w:rsidP="008E7C25">
      <w:pPr>
        <w:pBdr>
          <w:top w:val="nil"/>
          <w:left w:val="nil"/>
          <w:bottom w:val="nil"/>
          <w:right w:val="nil"/>
          <w:between w:val="nil"/>
        </w:pBdr>
        <w:spacing w:after="0"/>
        <w:ind w:left="-15"/>
        <w:jc w:val="center"/>
        <w:rPr>
          <w:b/>
          <w:color w:val="FF0000"/>
        </w:rPr>
      </w:pPr>
      <w:r w:rsidRPr="008E7C25">
        <w:rPr>
          <w:b/>
          <w:color w:val="7B4B1B"/>
        </w:rPr>
        <w:t>Офіційні результати грантових урядових програм можете глянути тут:</w:t>
      </w:r>
    </w:p>
    <w:p w14:paraId="4DE0696F" w14:textId="77777777" w:rsidR="004735EE" w:rsidRPr="008E7C25" w:rsidRDefault="009B3588" w:rsidP="008E7C25">
      <w:pPr>
        <w:pBdr>
          <w:top w:val="nil"/>
          <w:left w:val="nil"/>
          <w:bottom w:val="nil"/>
          <w:right w:val="nil"/>
          <w:between w:val="nil"/>
        </w:pBdr>
        <w:spacing w:after="0"/>
        <w:ind w:left="-15"/>
        <w:jc w:val="center"/>
        <w:rPr>
          <w:b/>
          <w:color w:val="FBE833"/>
          <w:lang w:val="uk-UA"/>
        </w:rPr>
      </w:pPr>
      <w:hyperlink r:id="rId10" w:history="1">
        <w:r w:rsidR="004735EE" w:rsidRPr="008E7C25">
          <w:rPr>
            <w:rStyle w:val="a4"/>
            <w:b/>
            <w:color w:val="FBE833"/>
          </w:rPr>
          <w:t>Результати урядових грантових програм для клієнтів – Google Диск</w:t>
        </w:r>
      </w:hyperlink>
    </w:p>
    <w:p w14:paraId="0000003C" w14:textId="77777777" w:rsidR="000F3F01" w:rsidRPr="004735EE" w:rsidRDefault="000F3F01" w:rsidP="007333EE">
      <w:pPr>
        <w:pBdr>
          <w:top w:val="nil"/>
          <w:left w:val="nil"/>
          <w:bottom w:val="nil"/>
          <w:right w:val="nil"/>
          <w:between w:val="nil"/>
        </w:pBdr>
        <w:spacing w:after="216" w:line="331" w:lineRule="auto"/>
        <w:rPr>
          <w:rFonts w:ascii="Calibri" w:eastAsia="Calibri" w:hAnsi="Calibri" w:cs="Calibri"/>
          <w:color w:val="000000"/>
          <w:sz w:val="21"/>
          <w:szCs w:val="21"/>
          <w:lang w:val="uk-UA"/>
        </w:rPr>
      </w:pPr>
    </w:p>
    <w:p w14:paraId="0000003F" w14:textId="050C48A9" w:rsidR="000F3F01" w:rsidRPr="00653177" w:rsidRDefault="000F3F01" w:rsidP="00653177">
      <w:pPr>
        <w:shd w:val="clear" w:color="auto" w:fill="FFFFFF"/>
        <w:spacing w:after="100"/>
        <w:rPr>
          <w:rFonts w:eastAsia="Arial"/>
          <w:b/>
          <w:i/>
          <w:color w:val="2D2C37"/>
          <w:sz w:val="40"/>
        </w:rPr>
      </w:pPr>
    </w:p>
    <w:sectPr w:rsidR="000F3F01" w:rsidRPr="00653177">
      <w:headerReference w:type="default" r:id="rId11"/>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01F6" w14:textId="77777777" w:rsidR="009B3588" w:rsidRDefault="009B3588" w:rsidP="008E7C25">
      <w:pPr>
        <w:spacing w:after="0"/>
      </w:pPr>
      <w:r>
        <w:separator/>
      </w:r>
    </w:p>
  </w:endnote>
  <w:endnote w:type="continuationSeparator" w:id="0">
    <w:p w14:paraId="57FC8016" w14:textId="77777777" w:rsidR="009B3588" w:rsidRDefault="009B3588" w:rsidP="008E7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F50A" w14:textId="77777777" w:rsidR="009B3588" w:rsidRDefault="009B3588" w:rsidP="008E7C25">
      <w:pPr>
        <w:spacing w:after="0"/>
      </w:pPr>
      <w:r>
        <w:separator/>
      </w:r>
    </w:p>
  </w:footnote>
  <w:footnote w:type="continuationSeparator" w:id="0">
    <w:p w14:paraId="5EEE7A61" w14:textId="77777777" w:rsidR="009B3588" w:rsidRDefault="009B3588" w:rsidP="008E7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F612" w14:textId="0139C466" w:rsidR="008E7C25" w:rsidRDefault="008E7C25" w:rsidP="008E7C25">
    <w:pPr>
      <w:pStyle w:val="a8"/>
      <w:jc w:val="center"/>
    </w:pPr>
    <w:r>
      <w:rPr>
        <w:noProof/>
      </w:rPr>
      <w:drawing>
        <wp:inline distT="0" distB="0" distL="0" distR="0" wp14:anchorId="2C7AC46B" wp14:editId="610031F1">
          <wp:extent cx="1186405" cy="783206"/>
          <wp:effectExtent l="0" t="0" r="0" b="0"/>
          <wp:docPr id="1" name="Рисунок 1" descr="https://www.grantfinance.com.ua/wp-content/uploads/2023/12/2023-12-06-09.55.42-150x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ntfinance.com.ua/wp-content/uploads/2023/12/2023-12-06-09.55.42-150x9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633" cy="7972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97B"/>
    <w:multiLevelType w:val="hybridMultilevel"/>
    <w:tmpl w:val="DF00A3B6"/>
    <w:lvl w:ilvl="0" w:tplc="E66A2940">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0AF05239"/>
    <w:multiLevelType w:val="hybridMultilevel"/>
    <w:tmpl w:val="50E82CA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560242"/>
    <w:multiLevelType w:val="multilevel"/>
    <w:tmpl w:val="91DAF0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4471F62"/>
    <w:multiLevelType w:val="hybridMultilevel"/>
    <w:tmpl w:val="67CC817C"/>
    <w:lvl w:ilvl="0" w:tplc="20000009">
      <w:start w:val="1"/>
      <w:numFmt w:val="bullet"/>
      <w:lvlText w:val=""/>
      <w:lvlJc w:val="left"/>
      <w:pPr>
        <w:ind w:left="1170" w:hanging="360"/>
      </w:pPr>
      <w:rPr>
        <w:rFonts w:ascii="Wingdings" w:hAnsi="Wingdings"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4" w15:restartNumberingAfterBreak="0">
    <w:nsid w:val="2CD51465"/>
    <w:multiLevelType w:val="hybridMultilevel"/>
    <w:tmpl w:val="469E8B0C"/>
    <w:lvl w:ilvl="0" w:tplc="20000001">
      <w:start w:val="1"/>
      <w:numFmt w:val="bullet"/>
      <w:lvlText w:val=""/>
      <w:lvlJc w:val="left"/>
      <w:pPr>
        <w:ind w:left="1168" w:hanging="360"/>
      </w:pPr>
      <w:rPr>
        <w:rFonts w:ascii="Symbol" w:hAnsi="Symbol" w:hint="default"/>
      </w:rPr>
    </w:lvl>
    <w:lvl w:ilvl="1" w:tplc="20000003" w:tentative="1">
      <w:start w:val="1"/>
      <w:numFmt w:val="bullet"/>
      <w:lvlText w:val="o"/>
      <w:lvlJc w:val="left"/>
      <w:pPr>
        <w:ind w:left="1888" w:hanging="360"/>
      </w:pPr>
      <w:rPr>
        <w:rFonts w:ascii="Courier New" w:hAnsi="Courier New" w:cs="Courier New" w:hint="default"/>
      </w:rPr>
    </w:lvl>
    <w:lvl w:ilvl="2" w:tplc="20000005" w:tentative="1">
      <w:start w:val="1"/>
      <w:numFmt w:val="bullet"/>
      <w:lvlText w:val=""/>
      <w:lvlJc w:val="left"/>
      <w:pPr>
        <w:ind w:left="2608" w:hanging="360"/>
      </w:pPr>
      <w:rPr>
        <w:rFonts w:ascii="Wingdings" w:hAnsi="Wingdings" w:hint="default"/>
      </w:rPr>
    </w:lvl>
    <w:lvl w:ilvl="3" w:tplc="20000001" w:tentative="1">
      <w:start w:val="1"/>
      <w:numFmt w:val="bullet"/>
      <w:lvlText w:val=""/>
      <w:lvlJc w:val="left"/>
      <w:pPr>
        <w:ind w:left="3328" w:hanging="360"/>
      </w:pPr>
      <w:rPr>
        <w:rFonts w:ascii="Symbol" w:hAnsi="Symbol" w:hint="default"/>
      </w:rPr>
    </w:lvl>
    <w:lvl w:ilvl="4" w:tplc="20000003" w:tentative="1">
      <w:start w:val="1"/>
      <w:numFmt w:val="bullet"/>
      <w:lvlText w:val="o"/>
      <w:lvlJc w:val="left"/>
      <w:pPr>
        <w:ind w:left="4048" w:hanging="360"/>
      </w:pPr>
      <w:rPr>
        <w:rFonts w:ascii="Courier New" w:hAnsi="Courier New" w:cs="Courier New" w:hint="default"/>
      </w:rPr>
    </w:lvl>
    <w:lvl w:ilvl="5" w:tplc="20000005" w:tentative="1">
      <w:start w:val="1"/>
      <w:numFmt w:val="bullet"/>
      <w:lvlText w:val=""/>
      <w:lvlJc w:val="left"/>
      <w:pPr>
        <w:ind w:left="4768" w:hanging="360"/>
      </w:pPr>
      <w:rPr>
        <w:rFonts w:ascii="Wingdings" w:hAnsi="Wingdings" w:hint="default"/>
      </w:rPr>
    </w:lvl>
    <w:lvl w:ilvl="6" w:tplc="20000001" w:tentative="1">
      <w:start w:val="1"/>
      <w:numFmt w:val="bullet"/>
      <w:lvlText w:val=""/>
      <w:lvlJc w:val="left"/>
      <w:pPr>
        <w:ind w:left="5488" w:hanging="360"/>
      </w:pPr>
      <w:rPr>
        <w:rFonts w:ascii="Symbol" w:hAnsi="Symbol" w:hint="default"/>
      </w:rPr>
    </w:lvl>
    <w:lvl w:ilvl="7" w:tplc="20000003" w:tentative="1">
      <w:start w:val="1"/>
      <w:numFmt w:val="bullet"/>
      <w:lvlText w:val="o"/>
      <w:lvlJc w:val="left"/>
      <w:pPr>
        <w:ind w:left="6208" w:hanging="360"/>
      </w:pPr>
      <w:rPr>
        <w:rFonts w:ascii="Courier New" w:hAnsi="Courier New" w:cs="Courier New" w:hint="default"/>
      </w:rPr>
    </w:lvl>
    <w:lvl w:ilvl="8" w:tplc="20000005" w:tentative="1">
      <w:start w:val="1"/>
      <w:numFmt w:val="bullet"/>
      <w:lvlText w:val=""/>
      <w:lvlJc w:val="left"/>
      <w:pPr>
        <w:ind w:left="6928" w:hanging="360"/>
      </w:pPr>
      <w:rPr>
        <w:rFonts w:ascii="Wingdings" w:hAnsi="Wingdings" w:hint="default"/>
      </w:rPr>
    </w:lvl>
  </w:abstractNum>
  <w:abstractNum w:abstractNumId="5" w15:restartNumberingAfterBreak="0">
    <w:nsid w:val="35B50D75"/>
    <w:multiLevelType w:val="hybridMultilevel"/>
    <w:tmpl w:val="C27A7568"/>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6" w15:restartNumberingAfterBreak="0">
    <w:nsid w:val="4F2343D2"/>
    <w:multiLevelType w:val="multilevel"/>
    <w:tmpl w:val="FF1809C4"/>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 w15:restartNumberingAfterBreak="0">
    <w:nsid w:val="55322EA0"/>
    <w:multiLevelType w:val="hybridMultilevel"/>
    <w:tmpl w:val="E79603A4"/>
    <w:lvl w:ilvl="0" w:tplc="20000009">
      <w:start w:val="1"/>
      <w:numFmt w:val="bullet"/>
      <w:lvlText w:val=""/>
      <w:lvlJc w:val="left"/>
      <w:pPr>
        <w:ind w:left="1168" w:hanging="360"/>
      </w:pPr>
      <w:rPr>
        <w:rFonts w:ascii="Wingdings" w:hAnsi="Wingdings" w:hint="default"/>
      </w:rPr>
    </w:lvl>
    <w:lvl w:ilvl="1" w:tplc="20000003" w:tentative="1">
      <w:start w:val="1"/>
      <w:numFmt w:val="bullet"/>
      <w:lvlText w:val="o"/>
      <w:lvlJc w:val="left"/>
      <w:pPr>
        <w:ind w:left="1888" w:hanging="360"/>
      </w:pPr>
      <w:rPr>
        <w:rFonts w:ascii="Courier New" w:hAnsi="Courier New" w:cs="Courier New" w:hint="default"/>
      </w:rPr>
    </w:lvl>
    <w:lvl w:ilvl="2" w:tplc="20000005" w:tentative="1">
      <w:start w:val="1"/>
      <w:numFmt w:val="bullet"/>
      <w:lvlText w:val=""/>
      <w:lvlJc w:val="left"/>
      <w:pPr>
        <w:ind w:left="2608" w:hanging="360"/>
      </w:pPr>
      <w:rPr>
        <w:rFonts w:ascii="Wingdings" w:hAnsi="Wingdings" w:hint="default"/>
      </w:rPr>
    </w:lvl>
    <w:lvl w:ilvl="3" w:tplc="20000001" w:tentative="1">
      <w:start w:val="1"/>
      <w:numFmt w:val="bullet"/>
      <w:lvlText w:val=""/>
      <w:lvlJc w:val="left"/>
      <w:pPr>
        <w:ind w:left="3328" w:hanging="360"/>
      </w:pPr>
      <w:rPr>
        <w:rFonts w:ascii="Symbol" w:hAnsi="Symbol" w:hint="default"/>
      </w:rPr>
    </w:lvl>
    <w:lvl w:ilvl="4" w:tplc="20000003" w:tentative="1">
      <w:start w:val="1"/>
      <w:numFmt w:val="bullet"/>
      <w:lvlText w:val="o"/>
      <w:lvlJc w:val="left"/>
      <w:pPr>
        <w:ind w:left="4048" w:hanging="360"/>
      </w:pPr>
      <w:rPr>
        <w:rFonts w:ascii="Courier New" w:hAnsi="Courier New" w:cs="Courier New" w:hint="default"/>
      </w:rPr>
    </w:lvl>
    <w:lvl w:ilvl="5" w:tplc="20000005" w:tentative="1">
      <w:start w:val="1"/>
      <w:numFmt w:val="bullet"/>
      <w:lvlText w:val=""/>
      <w:lvlJc w:val="left"/>
      <w:pPr>
        <w:ind w:left="4768" w:hanging="360"/>
      </w:pPr>
      <w:rPr>
        <w:rFonts w:ascii="Wingdings" w:hAnsi="Wingdings" w:hint="default"/>
      </w:rPr>
    </w:lvl>
    <w:lvl w:ilvl="6" w:tplc="20000001" w:tentative="1">
      <w:start w:val="1"/>
      <w:numFmt w:val="bullet"/>
      <w:lvlText w:val=""/>
      <w:lvlJc w:val="left"/>
      <w:pPr>
        <w:ind w:left="5488" w:hanging="360"/>
      </w:pPr>
      <w:rPr>
        <w:rFonts w:ascii="Symbol" w:hAnsi="Symbol" w:hint="default"/>
      </w:rPr>
    </w:lvl>
    <w:lvl w:ilvl="7" w:tplc="20000003" w:tentative="1">
      <w:start w:val="1"/>
      <w:numFmt w:val="bullet"/>
      <w:lvlText w:val="o"/>
      <w:lvlJc w:val="left"/>
      <w:pPr>
        <w:ind w:left="6208" w:hanging="360"/>
      </w:pPr>
      <w:rPr>
        <w:rFonts w:ascii="Courier New" w:hAnsi="Courier New" w:cs="Courier New" w:hint="default"/>
      </w:rPr>
    </w:lvl>
    <w:lvl w:ilvl="8" w:tplc="20000005" w:tentative="1">
      <w:start w:val="1"/>
      <w:numFmt w:val="bullet"/>
      <w:lvlText w:val=""/>
      <w:lvlJc w:val="left"/>
      <w:pPr>
        <w:ind w:left="6928" w:hanging="360"/>
      </w:pPr>
      <w:rPr>
        <w:rFonts w:ascii="Wingdings" w:hAnsi="Wingdings" w:hint="default"/>
      </w:rPr>
    </w:lvl>
  </w:abstractNum>
  <w:abstractNum w:abstractNumId="8" w15:restartNumberingAfterBreak="0">
    <w:nsid w:val="7B554C7E"/>
    <w:multiLevelType w:val="hybridMultilevel"/>
    <w:tmpl w:val="6BB6AF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C354490"/>
    <w:multiLevelType w:val="hybridMultilevel"/>
    <w:tmpl w:val="3DFAF87C"/>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3"/>
  </w:num>
  <w:num w:numId="6">
    <w:abstractNumId w:val="5"/>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01"/>
    <w:rsid w:val="0009058C"/>
    <w:rsid w:val="000C6E26"/>
    <w:rsid w:val="000F3F01"/>
    <w:rsid w:val="0021158C"/>
    <w:rsid w:val="003F3E03"/>
    <w:rsid w:val="004735EE"/>
    <w:rsid w:val="005E04B1"/>
    <w:rsid w:val="00653177"/>
    <w:rsid w:val="007333EE"/>
    <w:rsid w:val="00842ABE"/>
    <w:rsid w:val="008436EC"/>
    <w:rsid w:val="008E7C25"/>
    <w:rsid w:val="009B3588"/>
    <w:rsid w:val="00A4146A"/>
    <w:rsid w:val="00D35A5C"/>
    <w:rsid w:val="00F64D37"/>
    <w:rsid w:val="00F94A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E60A"/>
  <w15:docId w15:val="{E5365431-AD35-489D-9A9E-BB8530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ru-RU" w:eastAsia="uk-UA"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42000B"/>
    <w:pPr>
      <w:spacing w:before="100" w:beforeAutospacing="1" w:after="100" w:afterAutospacing="1"/>
    </w:pPr>
    <w:rPr>
      <w:sz w:val="24"/>
      <w:szCs w:val="24"/>
      <w:lang w:eastAsia="ru-RU"/>
    </w:rPr>
  </w:style>
  <w:style w:type="character" w:customStyle="1" w:styleId="rvts46">
    <w:name w:val="rvts46"/>
    <w:basedOn w:val="a0"/>
    <w:rsid w:val="0042000B"/>
  </w:style>
  <w:style w:type="character" w:customStyle="1" w:styleId="rvts11">
    <w:name w:val="rvts11"/>
    <w:basedOn w:val="a0"/>
    <w:rsid w:val="0042000B"/>
  </w:style>
  <w:style w:type="character" w:styleId="a4">
    <w:name w:val="Hyperlink"/>
    <w:basedOn w:val="a0"/>
    <w:uiPriority w:val="99"/>
    <w:unhideWhenUsed/>
    <w:rsid w:val="0042000B"/>
    <w:rPr>
      <w:color w:val="0000FF"/>
      <w:u w:val="single"/>
    </w:rPr>
  </w:style>
  <w:style w:type="paragraph" w:customStyle="1" w:styleId="rvps12">
    <w:name w:val="rvps12"/>
    <w:basedOn w:val="a"/>
    <w:rsid w:val="0042000B"/>
    <w:pPr>
      <w:spacing w:before="100" w:beforeAutospacing="1" w:after="100" w:afterAutospacing="1"/>
    </w:pPr>
    <w:rPr>
      <w:sz w:val="24"/>
      <w:szCs w:val="24"/>
      <w:lang w:eastAsia="ru-RU"/>
    </w:rPr>
  </w:style>
  <w:style w:type="character" w:customStyle="1" w:styleId="rvts15">
    <w:name w:val="rvts15"/>
    <w:basedOn w:val="a0"/>
    <w:rsid w:val="0042000B"/>
  </w:style>
  <w:style w:type="paragraph" w:customStyle="1" w:styleId="rvps14">
    <w:name w:val="rvps14"/>
    <w:basedOn w:val="a"/>
    <w:rsid w:val="0042000B"/>
    <w:pPr>
      <w:spacing w:before="100" w:beforeAutospacing="1" w:after="100" w:afterAutospacing="1"/>
    </w:pPr>
    <w:rPr>
      <w:sz w:val="24"/>
      <w:szCs w:val="24"/>
      <w:lang w:eastAsia="ru-RU"/>
    </w:rPr>
  </w:style>
  <w:style w:type="paragraph" w:styleId="a5">
    <w:name w:val="List Paragraph"/>
    <w:basedOn w:val="a"/>
    <w:uiPriority w:val="34"/>
    <w:qFormat/>
    <w:rsid w:val="002E5DD6"/>
    <w:pPr>
      <w:spacing w:after="3" w:line="331" w:lineRule="auto"/>
      <w:ind w:left="720" w:hanging="220"/>
      <w:contextualSpacing/>
    </w:pPr>
    <w:rPr>
      <w:rFonts w:ascii="Calibri" w:eastAsia="Calibri" w:hAnsi="Calibri" w:cs="Calibri"/>
      <w:color w:val="000000"/>
      <w:sz w:val="21"/>
      <w:lang w:val="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3F3E03"/>
    <w:rPr>
      <w:color w:val="605E5C"/>
      <w:shd w:val="clear" w:color="auto" w:fill="E1DFDD"/>
    </w:rPr>
  </w:style>
  <w:style w:type="paragraph" w:styleId="a8">
    <w:name w:val="header"/>
    <w:basedOn w:val="a"/>
    <w:link w:val="a9"/>
    <w:uiPriority w:val="99"/>
    <w:unhideWhenUsed/>
    <w:rsid w:val="008E7C25"/>
    <w:pPr>
      <w:tabs>
        <w:tab w:val="center" w:pos="4677"/>
        <w:tab w:val="right" w:pos="9355"/>
      </w:tabs>
      <w:spacing w:after="0"/>
    </w:pPr>
  </w:style>
  <w:style w:type="character" w:customStyle="1" w:styleId="a9">
    <w:name w:val="Верхній колонтитул Знак"/>
    <w:basedOn w:val="a0"/>
    <w:link w:val="a8"/>
    <w:uiPriority w:val="99"/>
    <w:rsid w:val="008E7C25"/>
  </w:style>
  <w:style w:type="paragraph" w:styleId="aa">
    <w:name w:val="footer"/>
    <w:basedOn w:val="a"/>
    <w:link w:val="ab"/>
    <w:uiPriority w:val="99"/>
    <w:unhideWhenUsed/>
    <w:rsid w:val="008E7C25"/>
    <w:pPr>
      <w:tabs>
        <w:tab w:val="center" w:pos="4677"/>
        <w:tab w:val="right" w:pos="9355"/>
      </w:tabs>
      <w:spacing w:after="0"/>
    </w:pPr>
  </w:style>
  <w:style w:type="character" w:customStyle="1" w:styleId="ab">
    <w:name w:val="Нижній колонтитул Знак"/>
    <w:basedOn w:val="a0"/>
    <w:link w:val="aa"/>
    <w:uiPriority w:val="99"/>
    <w:rsid w:val="008E7C25"/>
  </w:style>
  <w:style w:type="paragraph" w:styleId="ac">
    <w:name w:val="Normal (Web)"/>
    <w:basedOn w:val="a"/>
    <w:uiPriority w:val="99"/>
    <w:unhideWhenUsed/>
    <w:rsid w:val="00653177"/>
    <w:pPr>
      <w:spacing w:before="100" w:beforeAutospacing="1" w:after="100" w:afterAutospacing="1"/>
    </w:pPr>
    <w:rPr>
      <w:sz w:val="24"/>
      <w:szCs w:val="24"/>
    </w:rPr>
  </w:style>
  <w:style w:type="table" w:styleId="ad">
    <w:name w:val="Table Grid"/>
    <w:basedOn w:val="a1"/>
    <w:uiPriority w:val="39"/>
    <w:rsid w:val="00653177"/>
    <w:pPr>
      <w:spacing w:after="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4967">
      <w:bodyDiv w:val="1"/>
      <w:marLeft w:val="0"/>
      <w:marRight w:val="0"/>
      <w:marTop w:val="0"/>
      <w:marBottom w:val="0"/>
      <w:divBdr>
        <w:top w:val="none" w:sz="0" w:space="0" w:color="auto"/>
        <w:left w:val="none" w:sz="0" w:space="0" w:color="auto"/>
        <w:bottom w:val="none" w:sz="0" w:space="0" w:color="auto"/>
        <w:right w:val="none" w:sz="0" w:space="0" w:color="auto"/>
      </w:divBdr>
    </w:div>
    <w:div w:id="302124568">
      <w:bodyDiv w:val="1"/>
      <w:marLeft w:val="0"/>
      <w:marRight w:val="0"/>
      <w:marTop w:val="0"/>
      <w:marBottom w:val="0"/>
      <w:divBdr>
        <w:top w:val="none" w:sz="0" w:space="0" w:color="auto"/>
        <w:left w:val="none" w:sz="0" w:space="0" w:color="auto"/>
        <w:bottom w:val="none" w:sz="0" w:space="0" w:color="auto"/>
        <w:right w:val="none" w:sz="0" w:space="0" w:color="auto"/>
      </w:divBdr>
    </w:div>
    <w:div w:id="1963532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8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drive/folders/1BpTmDmrhp_eQ3-Snfh4kp6StDdv9Nz55?role=writer" TargetMode="External"/><Relationship Id="rId4" Type="http://schemas.openxmlformats.org/officeDocument/2006/relationships/settings" Target="settings.xml"/><Relationship Id="rId9" Type="http://schemas.openxmlformats.org/officeDocument/2006/relationships/hyperlink" Target="https://zakon.rada.gov.ua/laws/show/398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3egMA9UxpobP/P4bJXk8KjZZlQ==">CgMxLjAyCWlkLmdqZGd4czIKaWQuMzBqMHpsbDIKaWQuMWZvYjl0ZTIKaWQuM3pueXNoNzIKaWQuMmV0OTJwMDIJaWQudHlqY3d0MgppZC4zZHk2dmttMgppZC40ZDM0b2c4MgppZC4xdDNoNXNmMgppZC4yczhleW8xMgppZC4xN2RwOHZ1MgppZC4yNmluMXJnMgppZC4zcmRjcmpuMglpZC5sbnhiejkyCmlkLjFrc3Y0dXYyCmlkLjM1bmt1bjIyCmlkLjJqeHN4cWgyCmlkLjQ0c2luaW8yCWlkLnozMzd5YTIKaWQuM2oycXFtMzIKaWQuMXk4MTB0dzIKaWQuNGk3b2pocDIKaWQuMnhjeXRwaTIKaWQuMWNpOTN4YjIJaWQucXNoNzBxMgppZC4yYm42d3N4MgppZC4zd2h3bWw0MgppZC4zYXM0cG9qOAByITEyVVJpbElVUkxCSEdpXzhHc0EzbFBNa1p4UTlVYm5P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4450</Words>
  <Characters>2538</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9</cp:revision>
  <dcterms:created xsi:type="dcterms:W3CDTF">2025-03-18T13:54:00Z</dcterms:created>
  <dcterms:modified xsi:type="dcterms:W3CDTF">2025-08-06T07:17:00Z</dcterms:modified>
</cp:coreProperties>
</file>